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32"/>
          <w:szCs w:val="24"/>
        </w:rPr>
      </w:pPr>
      <w:r w:rsidRPr="00093C1C">
        <w:rPr>
          <w:rFonts w:ascii="Times New Roman" w:eastAsia="Arial Unicode MS" w:hAnsi="Times New Roman"/>
          <w:b/>
          <w:sz w:val="32"/>
          <w:szCs w:val="24"/>
        </w:rPr>
        <w:t>Beszámoló</w:t>
      </w:r>
    </w:p>
    <w:p w:rsidR="00093C1C" w:rsidRPr="00093C1C" w:rsidRDefault="00C109D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Főszerkesztő</w:t>
      </w:r>
    </w:p>
    <w:p w:rsidR="00093C1C" w:rsidRPr="00093C1C" w:rsidRDefault="00C109D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Pogácsás Nóra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</w:p>
    <w:p w:rsidR="00211DC3" w:rsidRDefault="000F7D86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11.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t xml:space="preserve">Egyeztettem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Brucker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Lajos Dániel informatikai referenssel (EHÖK) egy teljesen új weblap létrehozásában. A fogadóóra alatt megbeszéltük az új online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oldalának felépítését, alapelveit és kinézetét. Ez a felület várhatóan januártól lép működésbe.</w:t>
      </w:r>
    </w:p>
    <w:p w:rsidR="000F7D86" w:rsidRDefault="000F7D86" w:rsidP="008B3BFD">
      <w:pPr>
        <w:rPr>
          <w:rFonts w:ascii="Times New Roman" w:eastAsia="Arial Unicode MS" w:hAnsi="Times New Roman"/>
          <w:sz w:val="24"/>
          <w:szCs w:val="24"/>
        </w:rPr>
      </w:pPr>
    </w:p>
    <w:p w:rsidR="000F7D86" w:rsidRDefault="000F7D86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14.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 w:rsidRPr="000F7D86">
        <w:rPr>
          <w:rFonts w:ascii="Times New Roman" w:eastAsia="Arial Unicode MS" w:hAnsi="Times New Roman"/>
          <w:sz w:val="24"/>
          <w:szCs w:val="24"/>
        </w:rPr>
        <w:t>Az ELTE kommunikációs bizottsága és az ELTE Press csapat</w:t>
      </w:r>
      <w:r>
        <w:rPr>
          <w:rFonts w:ascii="Times New Roman" w:eastAsia="Arial Unicode MS" w:hAnsi="Times New Roman"/>
          <w:sz w:val="24"/>
          <w:szCs w:val="24"/>
        </w:rPr>
        <w:t xml:space="preserve">a közös projektnapot tartott, melyen majdnem minden referens és főszerkesztő részt vett. Az egész napos esemény során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ötleteltünk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az EHÖK új arculatának kinézetéről és kiértékeltünk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Brand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kérdőívet. Folyamatosan frissülő csapatokban dolgoztunk, rengeteg új információt dolgoztunk fel együtt.</w:t>
      </w:r>
    </w:p>
    <w:p w:rsidR="000F7D86" w:rsidRDefault="000F7D86" w:rsidP="008B3BFD">
      <w:pPr>
        <w:rPr>
          <w:rFonts w:ascii="Times New Roman" w:eastAsia="Arial Unicode MS" w:hAnsi="Times New Roman"/>
          <w:sz w:val="24"/>
          <w:szCs w:val="24"/>
        </w:rPr>
      </w:pPr>
    </w:p>
    <w:p w:rsidR="000F7D86" w:rsidRDefault="000F7D86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16.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</w:p>
    <w:p w:rsidR="000F7D86" w:rsidRDefault="000F7D86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A Komáromi Nyomda ismét visszaküldte javításra az újságot, melynek korrektúrázása még aznap megtörtént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Saáry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Ákos (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Tétékás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Nyúz) segítségével.</w:t>
      </w:r>
      <w:r>
        <w:rPr>
          <w:rFonts w:ascii="Times New Roman" w:eastAsia="Arial Unicode MS" w:hAnsi="Times New Roman"/>
          <w:sz w:val="24"/>
          <w:szCs w:val="24"/>
        </w:rPr>
        <w:br/>
        <w:t xml:space="preserve">18 órától szerkesztős megbeszélést tartottunk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HÖK irodában, amin viszonylag csekély létszámú újságíró vett részt. Megbeszéltük a következő szám felépítését,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ötleteltünk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az új témákról.</w:t>
      </w:r>
      <w:r w:rsidR="004C63B3">
        <w:rPr>
          <w:rFonts w:ascii="Times New Roman" w:eastAsia="Arial Unicode MS" w:hAnsi="Times New Roman"/>
          <w:sz w:val="24"/>
          <w:szCs w:val="24"/>
        </w:rPr>
        <w:br/>
      </w:r>
    </w:p>
    <w:p w:rsidR="004C63B3" w:rsidRDefault="004C63B3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br/>
      </w:r>
    </w:p>
    <w:p w:rsidR="004C63B3" w:rsidRDefault="004C63B3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2015. november 23.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</w:p>
    <w:p w:rsidR="004C63B3" w:rsidRDefault="004C63B3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Megérkezett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HÖK irodába. A 250 példány szétosztása még aznap megtörtént.</w:t>
      </w:r>
    </w:p>
    <w:p w:rsidR="004C63B3" w:rsidRDefault="004C63B3" w:rsidP="008B3BFD">
      <w:pPr>
        <w:rPr>
          <w:rFonts w:ascii="Times New Roman" w:eastAsia="Arial Unicode MS" w:hAnsi="Times New Roman"/>
          <w:sz w:val="24"/>
          <w:szCs w:val="24"/>
        </w:rPr>
      </w:pPr>
    </w:p>
    <w:p w:rsidR="004C63B3" w:rsidRDefault="004C63B3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26.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b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t xml:space="preserve">A szerkesztőknek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facebook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közösségi oldalon keresztül szavazást hirdettem meg a következő félév nyomtatott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Bárcziumainak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pontos darabszámáról. Ennek megfelelően létrehoztam egy táblázatot a határidőkkel és a lapzártákkal. </w:t>
      </w:r>
      <w:r>
        <w:rPr>
          <w:rFonts w:ascii="Times New Roman" w:eastAsia="Arial Unicode MS" w:hAnsi="Times New Roman"/>
          <w:sz w:val="24"/>
          <w:szCs w:val="24"/>
        </w:rPr>
        <w:br/>
      </w:r>
      <w:r>
        <w:rPr>
          <w:rFonts w:ascii="Times New Roman" w:eastAsia="Arial Unicode MS" w:hAnsi="Times New Roman"/>
          <w:sz w:val="24"/>
          <w:szCs w:val="24"/>
        </w:rPr>
        <w:br/>
        <w:t xml:space="preserve">A következő félév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Bárcziumainak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várható megjelenése:</w:t>
      </w:r>
      <w:r>
        <w:rPr>
          <w:rFonts w:ascii="Times New Roman" w:eastAsia="Arial Unicode MS" w:hAnsi="Times New Roman"/>
          <w:sz w:val="24"/>
          <w:szCs w:val="24"/>
        </w:rPr>
        <w:br/>
        <w:t>- 2016. február 15.</w:t>
      </w:r>
      <w:r>
        <w:rPr>
          <w:rFonts w:ascii="Times New Roman" w:eastAsia="Arial Unicode MS" w:hAnsi="Times New Roman"/>
          <w:sz w:val="24"/>
          <w:szCs w:val="24"/>
        </w:rPr>
        <w:br/>
        <w:t>- 2016. április 4.</w:t>
      </w:r>
      <w:r>
        <w:rPr>
          <w:rFonts w:ascii="Times New Roman" w:eastAsia="Arial Unicode MS" w:hAnsi="Times New Roman"/>
          <w:sz w:val="24"/>
          <w:szCs w:val="24"/>
        </w:rPr>
        <w:br/>
        <w:t>- 2016. május 30.</w:t>
      </w:r>
      <w:r>
        <w:rPr>
          <w:rFonts w:ascii="Times New Roman" w:eastAsia="Arial Unicode MS" w:hAnsi="Times New Roman"/>
          <w:sz w:val="24"/>
          <w:szCs w:val="24"/>
        </w:rPr>
        <w:br/>
      </w:r>
    </w:p>
    <w:p w:rsidR="004C63B3" w:rsidRDefault="004C63B3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december 9.</w:t>
      </w:r>
      <w:r>
        <w:rPr>
          <w:rFonts w:ascii="Times New Roman" w:eastAsia="Arial Unicode MS" w:hAnsi="Times New Roman"/>
          <w:b/>
          <w:sz w:val="24"/>
          <w:szCs w:val="24"/>
        </w:rPr>
        <w:br/>
      </w:r>
    </w:p>
    <w:p w:rsidR="004C63B3" w:rsidRPr="004C63B3" w:rsidRDefault="004C63B3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Sor került az év utolsó ELTE Press megbeszélésre, melyre iskolai teendőm miatt nem tudtam elmenni. Az ülésen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Bárcziumot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Csalló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Júlia (korrektor, újságíró) képviselte, aki még aznap beszámolt nekem az új információkról.</w:t>
      </w:r>
    </w:p>
    <w:p w:rsidR="00211DC3" w:rsidRDefault="004C63B3" w:rsidP="004C63B3">
      <w:pPr>
        <w:tabs>
          <w:tab w:val="left" w:pos="5385"/>
          <w:tab w:val="right" w:pos="9072"/>
        </w:tabs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  <w:t xml:space="preserve">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 xml:space="preserve">Pogácsás </w:t>
      </w:r>
      <w:proofErr w:type="gramStart"/>
      <w:r w:rsidR="00211DC3">
        <w:rPr>
          <w:rFonts w:ascii="Times New Roman" w:eastAsia="Arial Unicode MS" w:hAnsi="Times New Roman"/>
          <w:sz w:val="24"/>
          <w:szCs w:val="24"/>
        </w:rPr>
        <w:t>Nóra</w:t>
      </w:r>
      <w:r>
        <w:rPr>
          <w:rFonts w:ascii="Times New Roman" w:eastAsia="Arial Unicode MS" w:hAnsi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>ELTE</w:t>
      </w:r>
      <w:proofErr w:type="gramEnd"/>
      <w:r w:rsidR="00211DC3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211DC3"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 w:rsidR="00211DC3">
        <w:rPr>
          <w:rFonts w:ascii="Times New Roman" w:eastAsia="Arial Unicode MS" w:hAnsi="Times New Roman"/>
          <w:sz w:val="24"/>
          <w:szCs w:val="24"/>
        </w:rPr>
        <w:t xml:space="preserve"> HÖK</w:t>
      </w:r>
      <w:r>
        <w:rPr>
          <w:rFonts w:ascii="Times New Roman" w:eastAsia="Arial Unicode MS" w:hAnsi="Times New Roman"/>
          <w:sz w:val="24"/>
          <w:szCs w:val="24"/>
        </w:rPr>
        <w:br/>
        <w:t xml:space="preserve">                                                                                                                            </w:t>
      </w:r>
      <w:r w:rsidR="00211DC3">
        <w:rPr>
          <w:rFonts w:ascii="Times New Roman" w:eastAsia="Arial Unicode MS" w:hAnsi="Times New Roman"/>
          <w:sz w:val="24"/>
          <w:szCs w:val="24"/>
        </w:rPr>
        <w:t>Főszerkesztő</w:t>
      </w:r>
    </w:p>
    <w:p w:rsidR="00211DC3" w:rsidRDefault="004C63B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2015. december</w:t>
      </w:r>
      <w:r w:rsidR="00211DC3">
        <w:rPr>
          <w:rFonts w:ascii="Times New Roman" w:eastAsia="Arial Unicode MS" w:hAnsi="Times New Roman"/>
          <w:sz w:val="24"/>
          <w:szCs w:val="24"/>
        </w:rPr>
        <w:t xml:space="preserve"> 10.</w:t>
      </w:r>
    </w:p>
    <w:p w:rsidR="00211DC3" w:rsidRP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</w:p>
    <w:p w:rsidR="00E77CA1" w:rsidRPr="00093C1C" w:rsidRDefault="00E77CA1" w:rsidP="008B3B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7CA1" w:rsidRPr="00093C1C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99" w:rsidRDefault="004F3699" w:rsidP="000F75C4">
      <w:r>
        <w:separator/>
      </w:r>
    </w:p>
  </w:endnote>
  <w:endnote w:type="continuationSeparator" w:id="0">
    <w:p w:rsidR="004F3699" w:rsidRDefault="004F3699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093C1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 wp14:anchorId="4B11DC0E" wp14:editId="0733D9D5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674C2A" w:rsidRDefault="00536B2F" w:rsidP="00E77CA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C63B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093C1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99" w:rsidRDefault="004F3699" w:rsidP="000F75C4">
      <w:r>
        <w:separator/>
      </w:r>
    </w:p>
  </w:footnote>
  <w:footnote w:type="continuationSeparator" w:id="0">
    <w:p w:rsidR="004F3699" w:rsidRDefault="004F3699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 wp14:anchorId="00D71825" wp14:editId="56C5ED53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22E779A" wp14:editId="4BAF03D8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A5A1C" w:rsidRPr="00DD2782" w:rsidRDefault="00211DC3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9ABA876" wp14:editId="296A8E03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C109DC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4"/>
    <w:rsid w:val="0000224D"/>
    <w:rsid w:val="00020BA4"/>
    <w:rsid w:val="00023D1C"/>
    <w:rsid w:val="0006478A"/>
    <w:rsid w:val="00093C1C"/>
    <w:rsid w:val="000F75C4"/>
    <w:rsid w:val="000F7D86"/>
    <w:rsid w:val="00131F49"/>
    <w:rsid w:val="0019534C"/>
    <w:rsid w:val="001A74E0"/>
    <w:rsid w:val="001C0EC3"/>
    <w:rsid w:val="001F3BB9"/>
    <w:rsid w:val="00211DC3"/>
    <w:rsid w:val="00256CBB"/>
    <w:rsid w:val="002A2D05"/>
    <w:rsid w:val="002C77E0"/>
    <w:rsid w:val="003E224D"/>
    <w:rsid w:val="003E785D"/>
    <w:rsid w:val="0043325A"/>
    <w:rsid w:val="004C63B3"/>
    <w:rsid w:val="004F119A"/>
    <w:rsid w:val="004F3699"/>
    <w:rsid w:val="00536B2F"/>
    <w:rsid w:val="005B15A3"/>
    <w:rsid w:val="005D46C9"/>
    <w:rsid w:val="006140A5"/>
    <w:rsid w:val="00674C2A"/>
    <w:rsid w:val="008726DF"/>
    <w:rsid w:val="008862D8"/>
    <w:rsid w:val="00894B16"/>
    <w:rsid w:val="008B3BFD"/>
    <w:rsid w:val="008C07E8"/>
    <w:rsid w:val="008D38CC"/>
    <w:rsid w:val="00A63984"/>
    <w:rsid w:val="00A777C4"/>
    <w:rsid w:val="00AC342B"/>
    <w:rsid w:val="00AD66A8"/>
    <w:rsid w:val="00B2441E"/>
    <w:rsid w:val="00B67569"/>
    <w:rsid w:val="00B7787F"/>
    <w:rsid w:val="00BB38C7"/>
    <w:rsid w:val="00BC6952"/>
    <w:rsid w:val="00C109DC"/>
    <w:rsid w:val="00C33748"/>
    <w:rsid w:val="00CB03DE"/>
    <w:rsid w:val="00CD02E2"/>
    <w:rsid w:val="00D829C9"/>
    <w:rsid w:val="00DB2285"/>
    <w:rsid w:val="00DB3255"/>
    <w:rsid w:val="00DD2782"/>
    <w:rsid w:val="00E32FCC"/>
    <w:rsid w:val="00E77CA1"/>
    <w:rsid w:val="00EA5A1C"/>
    <w:rsid w:val="00F00B1C"/>
    <w:rsid w:val="00F70AB1"/>
    <w:rsid w:val="00FA0D62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C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C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WXPEE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user</cp:lastModifiedBy>
  <cp:revision>2</cp:revision>
  <cp:lastPrinted>2014-11-20T16:50:00Z</cp:lastPrinted>
  <dcterms:created xsi:type="dcterms:W3CDTF">2015-12-10T16:19:00Z</dcterms:created>
  <dcterms:modified xsi:type="dcterms:W3CDTF">2015-12-10T16:19:00Z</dcterms:modified>
</cp:coreProperties>
</file>